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eastAsiaTheme="minorEastAsia"/>
          <w:b/>
          <w:iCs/>
          <w:sz w:val="24"/>
          <w:szCs w:val="18"/>
          <w:highlight w:val="yellow"/>
          <w:lang w:val="en-US" w:eastAsia="zh-CN"/>
        </w:rPr>
      </w:pPr>
      <w:r>
        <w:rPr>
          <w:rFonts w:hint="eastAsia" w:cs="Arial"/>
          <w:b/>
          <w:bCs/>
          <w:sz w:val="24"/>
          <w:szCs w:val="24"/>
        </w:rPr>
        <w:t>3GPP TSG-RAN WG3 Meeting #120</w:t>
      </w:r>
      <w:r>
        <w:rPr>
          <w:b/>
          <w:i/>
          <w:sz w:val="28"/>
        </w:rPr>
        <w:tab/>
      </w:r>
      <w:r>
        <w:rPr>
          <w:b/>
          <w:iCs/>
          <w:sz w:val="24"/>
          <w:szCs w:val="18"/>
        </w:rPr>
        <w:t xml:space="preserve">        </w:t>
      </w:r>
      <w:r>
        <w:rPr>
          <w:rFonts w:hint="default"/>
          <w:b/>
          <w:iCs/>
          <w:sz w:val="24"/>
          <w:szCs w:val="18"/>
          <w:lang w:val="en-US"/>
        </w:rPr>
        <w:t xml:space="preserve">  </w:t>
      </w:r>
      <w:bookmarkStart w:id="8" w:name="_GoBack"/>
      <w:bookmarkEnd w:id="8"/>
      <w:r>
        <w:rPr>
          <w:rFonts w:hint="eastAsia"/>
          <w:b/>
          <w:iCs/>
          <w:sz w:val="24"/>
          <w:szCs w:val="18"/>
          <w:highlight w:val="none"/>
        </w:rPr>
        <w:t>R3-233209</w:t>
      </w:r>
    </w:p>
    <w:p>
      <w:pPr>
        <w:spacing w:after="0"/>
        <w:jc w:val="both"/>
        <w:rPr>
          <w:rFonts w:cs="Arial"/>
          <w:b/>
          <w:bCs/>
          <w:sz w:val="24"/>
          <w:szCs w:val="24"/>
        </w:rPr>
      </w:pPr>
      <w:bookmarkStart w:id="0" w:name="OLE_LINK6"/>
      <w:r>
        <w:rPr>
          <w:rFonts w:hint="eastAsia" w:cs="Arial"/>
          <w:b/>
          <w:bCs/>
          <w:sz w:val="24"/>
          <w:szCs w:val="24"/>
          <w:lang w:val="en-US" w:eastAsia="zh-CN"/>
        </w:rPr>
        <w:t>Incheon,</w:t>
      </w:r>
      <w:r>
        <w:rPr>
          <w:rFonts w:hint="eastAsia" w:cs="Arial"/>
          <w:b/>
          <w:bCs/>
          <w:sz w:val="24"/>
          <w:szCs w:val="24"/>
          <w:lang w:eastAsia="zh-CN"/>
        </w:rPr>
        <w:t xml:space="preserve"> 22–26 May, 202</w:t>
      </w:r>
      <w:r>
        <w:rPr>
          <w:rFonts w:hint="eastAsia" w:cs="Arial"/>
          <w:b/>
          <w:bCs/>
          <w:sz w:val="24"/>
          <w:szCs w:val="24"/>
          <w:lang w:val="en-US" w:eastAsia="zh-CN"/>
        </w:rPr>
        <w:t>3</w:t>
      </w:r>
      <w:bookmarkEnd w:id="0"/>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1" w:name="OLE_LINK8"/>
      <w:bookmarkStart w:id="2" w:name="OLE_LINK9"/>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1"/>
      <w:bookmarkEnd w:id="2"/>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bookmarkStart w:id="3" w:name="OLE_LINK5"/>
      <w:r>
        <w:rPr>
          <w:rFonts w:hint="eastAsia" w:eastAsia="宋体" w:cs="Arial"/>
          <w:sz w:val="32"/>
          <w:szCs w:val="32"/>
          <w:lang w:eastAsia="zh-CN"/>
        </w:rPr>
        <w:tab/>
      </w:r>
      <w:bookmarkEnd w:id="3"/>
      <w:r>
        <w:rPr>
          <w:rFonts w:hint="eastAsia" w:eastAsia="宋体" w:cs="Arial"/>
          <w:sz w:val="32"/>
          <w:szCs w:val="32"/>
          <w:lang w:eastAsia="zh-CN"/>
        </w:rPr>
        <w:t>Background</w:t>
      </w:r>
    </w:p>
    <w:p>
      <w:pPr>
        <w:pStyle w:val="3"/>
        <w:rPr>
          <w:lang w:eastAsia="zh-CN"/>
        </w:rPr>
      </w:pPr>
      <w:r>
        <w:rPr>
          <w:lang w:val="en-US" w:eastAsia="zh-CN"/>
        </w:rPr>
        <w:t xml:space="preserve">2.1 </w:t>
      </w:r>
      <w:r>
        <w:rPr>
          <w:rFonts w:hint="eastAsia"/>
          <w:lang w:eastAsia="zh-CN"/>
        </w:rPr>
        <w:t>Scope and objectives</w:t>
      </w:r>
    </w:p>
    <w:p>
      <w:pPr>
        <w:spacing w:before="120" w:line="280" w:lineRule="atLeast"/>
        <w:rPr>
          <w:rFonts w:ascii="Times New Roman" w:hAnsi="Times New Roman" w:eastAsia="宋体"/>
        </w:rPr>
      </w:pPr>
      <w:bookmarkStart w:id="4" w:name="OLE_LINK1"/>
      <w:bookmarkStart w:id="5" w:name="OLE_LINK2"/>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2.2</w:t>
      </w:r>
      <w:r>
        <w:rPr>
          <w:lang w:val="en-US" w:eastAsia="zh-CN"/>
        </w:rPr>
        <w:t xml:space="preserve"> </w:t>
      </w:r>
      <w:r>
        <w:rPr>
          <w:rFonts w:hint="eastAsia"/>
          <w:lang w:eastAsia="zh-CN"/>
        </w:rPr>
        <w:t>Time budget</w:t>
      </w:r>
    </w:p>
    <w:bookmarkEnd w:id="4"/>
    <w:bookmarkEnd w:id="5"/>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rPr>
          <w:lang w:eastAsia="zh-CN"/>
        </w:rPr>
      </w:pPr>
      <w:r>
        <w:rPr>
          <w:lang w:val="en-US" w:eastAsia="zh-CN"/>
        </w:rPr>
        <w:t xml:space="preserve">2.3 </w:t>
      </w: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6"/>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6"/>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6" w:name="OLE_LINK3"/>
      <w:r>
        <w:rPr>
          <w:rFonts w:ascii="Times New Roman" w:hAnsi="Times New Roman" w:eastAsia="宋体"/>
          <w:lang w:eastAsia="zh-CN"/>
        </w:rPr>
        <w:t xml:space="preserve">fulfil </w:t>
      </w:r>
      <w:bookmarkEnd w:id="6"/>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ind w:left="567" w:hanging="567"/>
        <w:rPr>
          <w:rFonts w:eastAsia="宋体" w:cs="Arial"/>
          <w:sz w:val="32"/>
          <w:szCs w:val="32"/>
          <w:lang w:eastAsia="zh-CN"/>
        </w:rPr>
      </w:pPr>
      <w:r>
        <w:rPr>
          <w:rFonts w:eastAsia="宋体" w:cs="Arial"/>
          <w:sz w:val="32"/>
          <w:szCs w:val="32"/>
          <w:lang w:val="en-US" w:eastAsia="zh-CN"/>
        </w:rPr>
        <w:t>3</w:t>
      </w:r>
      <w:r>
        <w:rPr>
          <w:rFonts w:hint="eastAsia" w:eastAsia="宋体" w:cs="Arial"/>
          <w:sz w:val="32"/>
          <w:szCs w:val="32"/>
          <w:lang w:eastAsia="zh-CN"/>
        </w:rPr>
        <w:tab/>
      </w:r>
      <w:r>
        <w:rPr>
          <w:rFonts w:hint="eastAsia" w:eastAsia="宋体" w:cs="Arial"/>
          <w:sz w:val="32"/>
          <w:szCs w:val="32"/>
          <w:lang w:eastAsia="zh-CN"/>
        </w:rPr>
        <w:t>Work plan</w:t>
      </w:r>
    </w:p>
    <w:p>
      <w:pPr>
        <w:pStyle w:val="3"/>
        <w:rPr>
          <w:lang w:val="en-US" w:eastAsia="zh-CN"/>
        </w:rPr>
      </w:pPr>
      <w:r>
        <w:rPr>
          <w:lang w:val="en-US" w:eastAsia="zh-CN"/>
        </w:rPr>
        <w:t xml:space="preserve">3.1 </w:t>
      </w:r>
      <w:r>
        <w:rPr>
          <w:rFonts w:hint="eastAsia"/>
          <w:lang w:val="en-US"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58"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rPr>
            </w:pPr>
            <w:r>
              <w:rPr>
                <w:rFonts w:hint="eastAsia" w:ascii="Calibri" w:hAnsi="Calibri" w:cs="Calibri"/>
                <w:bCs/>
                <w:color w:val="008000"/>
                <w:sz w:val="18"/>
              </w:rPr>
              <w:t>WA: Support inter-RAT SHR from LTE to NR at least for T304 if no impact on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sees benefits to s</w:t>
            </w:r>
            <w:r>
              <w:rPr>
                <w:rFonts w:hint="eastAsia" w:ascii="Calibri" w:hAnsi="Calibri" w:eastAsia="宋体" w:cs="Calibri"/>
                <w:color w:val="008000"/>
                <w:sz w:val="18"/>
                <w:szCs w:val="18"/>
                <w:lang w:val="en-US" w:eastAsia="zh-CN"/>
              </w:rPr>
              <w:t>upport inter-RAT SHR from LTE to NR</w:t>
            </w:r>
            <w:r>
              <w:rPr>
                <w:rFonts w:ascii="Calibri" w:hAnsi="Calibri" w:eastAsia="宋体" w:cs="Calibri"/>
                <w:color w:val="008000"/>
                <w:sz w:val="18"/>
                <w:szCs w:val="18"/>
                <w:lang w:val="en-US" w:eastAsia="zh-CN"/>
              </w:rPr>
              <w:t xml:space="preserve"> for T304 trigger with no impact on LTE in R</w:t>
            </w:r>
            <w:r>
              <w:rPr>
                <w:rFonts w:hint="eastAsia" w:ascii="Calibri" w:hAnsi="Calibri" w:eastAsia="宋体" w:cs="Calibri"/>
                <w:color w:val="008000"/>
                <w:sz w:val="18"/>
                <w:szCs w:val="18"/>
                <w:lang w:val="en-US" w:eastAsia="zh-CN"/>
              </w:rPr>
              <w:t>el-</w:t>
            </w:r>
            <w:r>
              <w:rPr>
                <w:rFonts w:ascii="Calibri" w:hAnsi="Calibri" w:eastAsia="宋体" w:cs="Calibri"/>
                <w:color w:val="008000"/>
                <w:sz w:val="18"/>
                <w:szCs w:val="18"/>
                <w:lang w:val="en-US" w:eastAsia="zh-CN"/>
              </w:rPr>
              <w:t>18</w:t>
            </w:r>
            <w:r>
              <w:rPr>
                <w:rFonts w:hint="eastAsia" w:ascii="Calibri" w:hAnsi="Calibri" w:eastAsia="宋体" w:cs="Calibri"/>
                <w:color w:val="008000"/>
                <w:sz w:val="18"/>
                <w:szCs w:val="18"/>
                <w:lang w:val="en-US" w:eastAsia="zh-CN"/>
              </w:rPr>
              <w:t>.</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Take Option 3 (The receiving node forwards the inter-RAT SHR to corresponding node which generates the SHR trigger condition that triggers the inter-RAT SHR) as baseline for SHR forwarding mechanism in Rel-18.</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WA: The content of inter-RAT SHR from LTE to NR includes at least Source LTE</w:t>
            </w:r>
            <w:r>
              <w:rPr>
                <w:rFonts w:ascii="Calibri" w:hAnsi="Calibri" w:eastAsia="宋体" w:cs="Calibri"/>
                <w:color w:val="008000"/>
                <w:sz w:val="18"/>
                <w:szCs w:val="18"/>
                <w:lang w:val="en-US"/>
              </w:rPr>
              <w:t xml:space="preserve"> cell, Target NR cell</w:t>
            </w:r>
            <w:r>
              <w:rPr>
                <w:rFonts w:ascii="Calibri" w:hAnsi="Calibri" w:eastAsia="宋体" w:cs="Calibri"/>
                <w:color w:val="008000"/>
                <w:sz w:val="18"/>
                <w:szCs w:val="18"/>
                <w:lang w:val="en-US" w:eastAsia="zh-CN"/>
              </w:rPr>
              <w:t>.</w:t>
            </w:r>
          </w:p>
          <w:p>
            <w:pPr>
              <w:rPr>
                <w:rFonts w:hint="eastAsia" w:ascii="Calibri" w:hAnsi="Calibri" w:cs="Calibri" w:eastAsiaTheme="minorEastAsia"/>
                <w:bCs/>
                <w:color w:val="008000"/>
                <w:sz w:val="18"/>
                <w:highlight w:val="none"/>
                <w:lang w:eastAsia="zh-CN"/>
              </w:rPr>
            </w:pPr>
            <w:r>
              <w:rPr>
                <w:rFonts w:hint="eastAsia" w:ascii="Calibri" w:hAnsi="Calibri" w:cs="Calibri" w:eastAsiaTheme="minorEastAsia"/>
                <w:bCs/>
                <w:color w:val="008000"/>
                <w:sz w:val="18"/>
                <w:highlight w:val="none"/>
                <w:lang w:eastAsia="zh-CN"/>
              </w:rPr>
              <w:t xml:space="preserve">LS to RAN2 </w:t>
            </w:r>
            <w:r>
              <w:rPr>
                <w:rFonts w:ascii="Calibri" w:hAnsi="Calibri" w:cs="Calibri" w:eastAsiaTheme="minorEastAsia"/>
                <w:bCs/>
                <w:color w:val="008000"/>
                <w:sz w:val="18"/>
                <w:highlight w:val="none"/>
                <w:lang w:eastAsia="zh-CN"/>
              </w:rPr>
              <w:t>on intra-system inter-RAT SHR and on SPR</w:t>
            </w:r>
          </w:p>
          <w:p>
            <w:pPr>
              <w:rPr>
                <w:rFonts w:ascii="Calibri" w:hAnsi="Calibri" w:cs="Calibri"/>
                <w:bCs/>
                <w:color w:val="008000"/>
                <w:sz w:val="18"/>
                <w:highlight w:val="none"/>
              </w:rPr>
            </w:pPr>
            <w:r>
              <w:rPr>
                <w:rFonts w:hint="eastAsia" w:ascii="Calibri" w:hAnsi="Calibri" w:cs="Calibri"/>
                <w:bCs/>
                <w:color w:val="008000"/>
                <w:sz w:val="18"/>
                <w:highlight w:val="none"/>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pPr>
              <w:rPr>
                <w:rFonts w:ascii="Calibri" w:hAnsi="Calibri" w:cs="Calibri"/>
                <w:bCs/>
                <w:color w:val="008000"/>
                <w:sz w:val="18"/>
                <w:highlight w:val="none"/>
              </w:rPr>
            </w:pPr>
            <w:r>
              <w:rPr>
                <w:rFonts w:hint="eastAsia" w:ascii="Calibri" w:hAnsi="Calibri" w:cs="Calibri"/>
                <w:bCs/>
                <w:color w:val="008000"/>
                <w:sz w:val="18"/>
                <w:highlight w:val="none"/>
              </w:rPr>
              <w:t>No further discussion in RAN3 on above RACH related information.</w:t>
            </w:r>
          </w:p>
          <w:p>
            <w:pPr>
              <w:rPr>
                <w:rFonts w:ascii="Calibri" w:hAnsi="Calibri" w:cs="Calibri"/>
                <w:bCs/>
                <w:color w:val="008000"/>
                <w:sz w:val="18"/>
                <w:highlight w:val="none"/>
              </w:rPr>
            </w:pPr>
            <w:r>
              <w:rPr>
                <w:rFonts w:hint="eastAsia" w:ascii="Calibri" w:hAnsi="Calibri" w:cs="Calibri"/>
                <w:bCs/>
                <w:color w:val="008000"/>
                <w:sz w:val="18"/>
                <w:highlight w:val="none"/>
              </w:rPr>
              <w:t>Support collection of SHR during successful inter-RAT HO (LTE to NR) for T304 trigger without any LTE impacts in R18, if the following principles are used. Send LS to RAN2 to confirm the first 4 bullets:</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Target gNB can send SHR configuration (T304 trigger) to UE via NR container (targetRAT-MessageContainer) in MobilityFromEUTRACommand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stores this SHR configuration in NR format</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If T304 trigger is met, UE records SHR in NR format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reports this SHR to only an gNB (either the target gNB or another gNB)</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gNB retrieving this SHR can forward this SHR to the target gNB for SHR optimizations</w:t>
            </w:r>
          </w:p>
          <w:p>
            <w:pPr>
              <w:rPr>
                <w:rFonts w:ascii="Calibri" w:hAnsi="Calibri" w:cs="Calibri"/>
                <w:bCs/>
                <w:color w:val="008000"/>
                <w:sz w:val="18"/>
                <w:highlight w:val="none"/>
              </w:rPr>
            </w:pPr>
            <w:r>
              <w:rPr>
                <w:rFonts w:hint="eastAsia" w:ascii="Calibri" w:hAnsi="Calibri" w:cs="Calibri"/>
                <w:bCs/>
                <w:color w:val="008000"/>
                <w:sz w:val="18"/>
                <w:highlight w:val="none"/>
              </w:rPr>
              <w:t>The SHR collected during inter-RAT HO (LTE to NR) should include at least Source LTE cell and Target NR cell (assuming RAN2 confirms no LTE impacts based on the principles in Proposal 4)</w:t>
            </w:r>
          </w:p>
          <w:p>
            <w:pPr>
              <w:rPr>
                <w:rFonts w:ascii="Calibri" w:hAnsi="Calibri" w:cs="Calibri"/>
                <w:bCs/>
                <w:color w:val="008000"/>
                <w:sz w:val="18"/>
                <w:highlight w:val="none"/>
              </w:rPr>
            </w:pPr>
            <w:r>
              <w:rPr>
                <w:rFonts w:hint="eastAsia" w:ascii="Calibri" w:hAnsi="Calibri" w:cs="Calibri"/>
                <w:bCs/>
                <w:color w:val="008000"/>
                <w:sz w:val="18"/>
                <w:highlight w:val="none"/>
              </w:rPr>
              <w:t>WA: The triggers for SPR should be represented in terms of percentage values (similar to SHR)</w:t>
            </w:r>
          </w:p>
          <w:p>
            <w:pPr>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rPr>
            </w:pPr>
            <w:r>
              <w:rPr>
                <w:rFonts w:hint="eastAsia" w:ascii="Calibri" w:hAnsi="Calibri" w:cs="Calibri"/>
                <w:bCs/>
                <w:color w:val="008000"/>
                <w:sz w:val="18"/>
                <w:szCs w:val="24"/>
              </w:rPr>
              <w:t>SPR as abbreviation for Successful PScell Change Report feature.</w:t>
            </w:r>
          </w:p>
          <w:p>
            <w:pPr>
              <w:rPr>
                <w:rFonts w:ascii="Calibri" w:hAnsi="Calibri" w:cs="Calibri"/>
                <w:bCs/>
                <w:color w:val="008000"/>
                <w:sz w:val="18"/>
              </w:rPr>
            </w:pPr>
            <w:r>
              <w:rPr>
                <w:rFonts w:ascii="Calibri" w:hAnsi="Calibri" w:cs="Calibri"/>
                <w:bCs/>
                <w:color w:val="008000"/>
                <w:sz w:val="18"/>
              </w:rPr>
              <w:t>For SN-initiated classic PScell change the source SN node decides the</w:t>
            </w:r>
            <w:r>
              <w:rPr>
                <w:rFonts w:hint="eastAsia" w:ascii="Calibri" w:hAnsi="Calibri" w:cs="Calibri"/>
                <w:bCs/>
                <w:color w:val="008000"/>
                <w:sz w:val="18"/>
              </w:rPr>
              <w:t xml:space="preserve"> T310/T312</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and </w:t>
            </w:r>
            <w:r>
              <w:rPr>
                <w:rFonts w:ascii="Calibri" w:hAnsi="Calibri" w:cs="Calibri"/>
                <w:bCs/>
                <w:color w:val="008000"/>
                <w:sz w:val="18"/>
              </w:rPr>
              <w:t xml:space="preserve">the </w:t>
            </w:r>
            <w:r>
              <w:rPr>
                <w:rFonts w:hint="eastAsia" w:ascii="Calibri" w:hAnsi="Calibri" w:cs="Calibri"/>
                <w:bCs/>
                <w:color w:val="008000"/>
                <w:sz w:val="18"/>
              </w:rPr>
              <w:t xml:space="preserve">target </w:t>
            </w:r>
            <w:r>
              <w:rPr>
                <w:rFonts w:ascii="Calibri" w:hAnsi="Calibri" w:cs="Calibri"/>
                <w:bCs/>
                <w:color w:val="008000"/>
                <w:sz w:val="18"/>
              </w:rPr>
              <w:t>SN node decides the</w:t>
            </w:r>
            <w:r>
              <w:rPr>
                <w:rFonts w:hint="eastAsia" w:ascii="Calibri" w:hAnsi="Calibri" w:cs="Calibri"/>
                <w:bCs/>
                <w:color w:val="008000"/>
                <w:sz w:val="18"/>
              </w:rPr>
              <w:t xml:space="preserve"> T304</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w:t>
            </w:r>
          </w:p>
          <w:p>
            <w:pPr>
              <w:rPr>
                <w:rFonts w:ascii="Calibri" w:hAnsi="Calibri" w:cs="Calibri"/>
                <w:bCs/>
                <w:color w:val="008000"/>
                <w:sz w:val="18"/>
              </w:rPr>
            </w:pPr>
            <w:r>
              <w:rPr>
                <w:rFonts w:ascii="Calibri" w:hAnsi="Calibri" w:cs="Calibri"/>
                <w:bCs/>
                <w:color w:val="008000"/>
                <w:sz w:val="18"/>
              </w:rPr>
              <w:t>For classic addition/CPA, SN- and MN-initiated classic PSCell change/CPC, the target SN node decides the T304 trigger and performs root cause analysis.</w:t>
            </w:r>
          </w:p>
          <w:p>
            <w:pPr>
              <w:rPr>
                <w:rFonts w:ascii="Calibri" w:hAnsi="Calibri" w:cs="Calibri"/>
                <w:bCs/>
                <w:color w:val="008000"/>
                <w:sz w:val="18"/>
              </w:rPr>
            </w:pPr>
            <w:r>
              <w:rPr>
                <w:rFonts w:hint="eastAsia" w:ascii="Calibri" w:hAnsi="Calibri" w:cs="Calibri"/>
                <w:bCs/>
                <w:color w:val="008000"/>
                <w:sz w:val="18"/>
              </w:rPr>
              <w:t>For intra-SN classic PSCell change/CPC, the source SN decides SPR triggers of T310 and T312 and performs root cause analysis.</w:t>
            </w:r>
          </w:p>
          <w:p>
            <w:pPr>
              <w:rPr>
                <w:rFonts w:ascii="Calibri" w:hAnsi="Calibri" w:cs="Calibri"/>
                <w:bCs/>
                <w:color w:val="008000"/>
                <w:sz w:val="18"/>
              </w:rPr>
            </w:pPr>
            <w:r>
              <w:rPr>
                <w:rFonts w:hint="eastAsia" w:ascii="Calibri" w:hAnsi="Calibri" w:cs="Calibri"/>
                <w:bCs/>
                <w:color w:val="008000"/>
                <w:sz w:val="18"/>
              </w:rPr>
              <w:t>If the trigger is T312/310, the objective of SPR is to optimize lower layer issues of source PSCell and to optimize PSCell change configuration during mobility.</w:t>
            </w:r>
          </w:p>
          <w:p>
            <w:pPr>
              <w:rPr>
                <w:rFonts w:ascii="Calibri" w:hAnsi="Calibri" w:cs="Calibri"/>
                <w:bCs/>
                <w:color w:val="008000"/>
                <w:sz w:val="18"/>
                <w:lang w:eastAsia="zh-CN"/>
              </w:rPr>
            </w:pPr>
            <w:r>
              <w:rPr>
                <w:rFonts w:hint="eastAsia" w:ascii="Calibri" w:hAnsi="Calibri" w:cs="Calibri"/>
                <w:bCs/>
                <w:color w:val="008000"/>
                <w:sz w:val="18"/>
                <w:lang w:eastAsia="zh-CN"/>
              </w:rPr>
              <w:t>If the trigger is T312/310, for MN-initiated classic PSCell change/CPC, at least the MN who sent the SPR configuration to the UE is involved in SPR related optimizations.</w:t>
            </w:r>
          </w:p>
          <w:p>
            <w:pPr>
              <w:rPr>
                <w:rFonts w:ascii="Calibri" w:hAnsi="Calibri" w:cs="Calibri"/>
                <w:bCs/>
                <w:color w:val="008000"/>
                <w:sz w:val="18"/>
                <w:highlight w:val="none"/>
              </w:rPr>
            </w:pPr>
            <w:r>
              <w:rPr>
                <w:rFonts w:hint="eastAsia" w:ascii="Calibri" w:hAnsi="Calibri" w:cs="Calibri"/>
                <w:bCs/>
                <w:color w:val="008000"/>
                <w:sz w:val="18"/>
                <w:highlight w:val="none"/>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rPr>
                <w:rFonts w:ascii="Calibri" w:hAnsi="Calibri" w:cs="Calibri"/>
                <w:bCs/>
                <w:color w:val="008000"/>
                <w:sz w:val="18"/>
                <w:highlight w:val="none"/>
              </w:rPr>
            </w:pPr>
            <w:r>
              <w:rPr>
                <w:rFonts w:hint="eastAsia" w:ascii="Calibri" w:hAnsi="Calibri" w:cs="Calibri"/>
                <w:bCs/>
                <w:color w:val="008000"/>
                <w:sz w:val="18"/>
                <w:highlight w:val="none"/>
              </w:rPr>
              <w:t>To assist in the forwarding of SPR, UE may include the following in SPR</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CGI of the PCell which sent the SPR configuration (presence of this IE is to be discussed)</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WA: Indication whether the PSCell change was MN-initiated or SN-initiated (RAN3 should discuss how the UE knows whether the PSCell change as MN-initiated or SN-initiated and will check with RAN2 on the mechanism)</w:t>
            </w:r>
          </w:p>
          <w:p>
            <w:pPr>
              <w:rPr>
                <w:rFonts w:ascii="Calibri" w:hAnsi="Calibri" w:cs="Calibri"/>
                <w:bCs/>
                <w:color w:val="008000"/>
                <w:sz w:val="18"/>
                <w:highlight w:val="none"/>
              </w:rPr>
            </w:pPr>
            <w:r>
              <w:rPr>
                <w:rFonts w:hint="eastAsia" w:ascii="Calibri" w:hAnsi="Calibri" w:cs="Calibri"/>
                <w:bCs/>
                <w:color w:val="008000"/>
                <w:sz w:val="18"/>
                <w:highlight w:val="none"/>
              </w:rPr>
              <w:t>Reuse ACCESS AND MOBILTY INDICATION to forward SPR over XnAP and F1AP and use Uplink/Downlink RAN Configuration Transfer for forwarding SPR over NGAP</w:t>
            </w:r>
          </w:p>
          <w:p>
            <w:pPr>
              <w:rPr>
                <w:rFonts w:ascii="Calibri" w:hAnsi="Calibri" w:cs="Calibri"/>
                <w:bCs/>
                <w:color w:val="008000"/>
                <w:sz w:val="18"/>
                <w:highlight w:val="none"/>
              </w:rPr>
            </w:pPr>
            <w:r>
              <w:rPr>
                <w:rFonts w:hint="eastAsia" w:ascii="Calibri" w:hAnsi="Calibri" w:cs="Calibri"/>
                <w:bCs/>
                <w:color w:val="008000"/>
                <w:sz w:val="18"/>
                <w:highlight w:val="none"/>
              </w:rPr>
              <w:t>To identify the UE context in the old source SN/old target SN when SPR is forwarded by old MN for SPR optimization, old MN identifies the UE context and sends the stored respective SN Mobility Information together with SPR to the old source SN/old target SN</w:t>
            </w:r>
          </w:p>
          <w:p>
            <w:pPr>
              <w:rPr>
                <w:rFonts w:ascii="Calibri" w:hAnsi="Calibri" w:cs="Calibri"/>
                <w:bCs/>
                <w:color w:val="008000"/>
                <w:sz w:val="18"/>
                <w:highlight w:val="none"/>
              </w:rPr>
            </w:pPr>
            <w:r>
              <w:rPr>
                <w:rFonts w:hint="eastAsia" w:ascii="Calibri" w:hAnsi="Calibri" w:cs="Calibri"/>
                <w:bCs/>
                <w:color w:val="008000"/>
                <w:sz w:val="18"/>
                <w:highlight w:val="none"/>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pPr>
              <w:pStyle w:val="81"/>
              <w:spacing w:after="120" w:line="256" w:lineRule="auto"/>
              <w:ind w:left="0"/>
              <w:rPr>
                <w:rFonts w:ascii="Calibri" w:hAnsi="Calibri" w:cs="Calibri"/>
                <w:i/>
                <w:iCs/>
                <w:color w:val="008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9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rPr>
                <w:rFonts w:ascii="Calibri" w:hAnsi="Calibri" w:cs="Calibri"/>
                <w:bCs/>
                <w:color w:val="008000"/>
                <w:sz w:val="18"/>
                <w:highlight w:val="none"/>
              </w:rPr>
            </w:pPr>
            <w:r>
              <w:rPr>
                <w:rFonts w:hint="eastAsia" w:ascii="Calibri" w:hAnsi="Calibri" w:cs="Calibri"/>
                <w:bCs/>
                <w:color w:val="008000"/>
                <w:sz w:val="18"/>
                <w:highlight w:val="none"/>
              </w:rPr>
              <w:t xml:space="preserve">If the trigger is T312/T310, the objective of SPR is to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lower layer issues of source PSCell (e.g., optimize 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Further, T310/T312 related SPR triggers can also be optimized to ensure UE doesn’t unnecessarily collect SPR or only rarely collects SPR</w:t>
            </w:r>
          </w:p>
          <w:p>
            <w:pPr>
              <w:rPr>
                <w:rFonts w:ascii="Calibri" w:hAnsi="Calibri" w:cs="Calibri"/>
                <w:bCs/>
                <w:color w:val="008000"/>
                <w:sz w:val="18"/>
                <w:highlight w:val="none"/>
              </w:rPr>
            </w:pPr>
            <w:r>
              <w:rPr>
                <w:rFonts w:hint="eastAsia" w:ascii="Calibri" w:hAnsi="Calibri" w:cs="Calibri"/>
                <w:bCs/>
                <w:color w:val="008000"/>
                <w:sz w:val="18"/>
                <w:highlight w:val="none"/>
              </w:rPr>
              <w:t>Irrespective of option 1/2/3, in case SPR is collected during MN-initiated PSCell change, SPR optimizations are done in both MN and source SN</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MN is responsible to 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is responsible to optimize </w:t>
            </w:r>
            <w:r>
              <w:rPr>
                <w:rFonts w:hint="eastAsia" w:ascii="Calibri" w:hAnsi="Calibri" w:cs="Calibri"/>
                <w:color w:val="028206"/>
                <w:kern w:val="2"/>
                <w:sz w:val="16"/>
                <w:szCs w:val="16"/>
                <w:highlight w:val="none"/>
              </w:rPr>
              <w:t>lower layer issue</w:t>
            </w:r>
            <w:r>
              <w:rPr>
                <w:rFonts w:ascii="Calibri" w:hAnsi="Calibri" w:cs="Calibri"/>
                <w:color w:val="028206"/>
                <w:kern w:val="2"/>
                <w:sz w:val="16"/>
                <w:szCs w:val="16"/>
                <w:highlight w:val="none"/>
              </w:rPr>
              <w:t>s</w:t>
            </w:r>
            <w:r>
              <w:rPr>
                <w:rFonts w:hint="eastAsia" w:ascii="Calibri" w:hAnsi="Calibri" w:cs="Calibri"/>
                <w:color w:val="028206"/>
                <w:kern w:val="2"/>
                <w:sz w:val="16"/>
                <w:szCs w:val="16"/>
                <w:highlight w:val="none"/>
              </w:rPr>
              <w:t xml:space="preserve"> (e.g.</w:t>
            </w:r>
            <w:r>
              <w:rPr>
                <w:rFonts w:ascii="Calibri" w:hAnsi="Calibri" w:cs="Calibri"/>
                <w:color w:val="028206"/>
                <w:kern w:val="2"/>
                <w:sz w:val="16"/>
                <w:szCs w:val="16"/>
                <w:highlight w:val="none"/>
              </w:rPr>
              <w:t>, optimize</w:t>
            </w:r>
            <w:r>
              <w:rPr>
                <w:rFonts w:hint="eastAsia" w:ascii="Calibri" w:hAnsi="Calibri" w:cs="Calibri"/>
                <w:color w:val="028206"/>
                <w:kern w:val="2"/>
                <w:sz w:val="16"/>
                <w:szCs w:val="16"/>
                <w:highlight w:val="none"/>
              </w:rPr>
              <w:t xml:space="preserve"> </w:t>
            </w:r>
            <w:r>
              <w:rPr>
                <w:rFonts w:ascii="Calibri" w:hAnsi="Calibri" w:cs="Calibri"/>
                <w:color w:val="028206"/>
                <w:kern w:val="2"/>
                <w:sz w:val="16"/>
                <w:szCs w:val="16"/>
                <w:highlight w:val="none"/>
              </w:rPr>
              <w:t>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SN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Source SN may send the SN Mobility Information to MN via SN Change Required message (already supported by existing specifications)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MN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may send the SN Mobility Information to MN via SN Release Request Acknowledge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i/>
                <w:iCs/>
                <w:color w:val="008000"/>
                <w:sz w:val="21"/>
                <w:szCs w:val="21"/>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iv: CHO-CPC coexistence scenarios with low priority.</w:t>
            </w:r>
          </w:p>
          <w:p>
            <w:pPr>
              <w:rPr>
                <w:rFonts w:ascii="Calibri" w:hAnsi="Calibri" w:cs="Calibri"/>
                <w:bCs/>
                <w:color w:val="008000"/>
                <w:sz w:val="18"/>
              </w:rPr>
            </w:pPr>
            <w:r>
              <w:rPr>
                <w:rFonts w:hint="eastAsia" w:ascii="Calibri" w:hAnsi="Calibri" w:cs="Calibri"/>
                <w:bCs/>
                <w:color w:val="008000"/>
                <w:sz w:val="18"/>
              </w:rPr>
              <w:t>Too Early CPA Execution will be considered</w:t>
            </w:r>
            <w:r>
              <w:rPr>
                <w:rFonts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Naming for too early CPA execution? No need to rename.</w:t>
            </w:r>
          </w:p>
          <w:p>
            <w:pPr>
              <w:rPr>
                <w:rFonts w:ascii="Calibri" w:hAnsi="Calibri" w:cs="Calibri"/>
                <w:bCs/>
                <w:color w:val="008000"/>
                <w:sz w:val="18"/>
              </w:rPr>
            </w:pPr>
            <w:r>
              <w:rPr>
                <w:rFonts w:hint="eastAsia" w:ascii="Calibri" w:hAnsi="Calibri" w:cs="Calibri"/>
                <w:bCs/>
                <w:color w:val="008000"/>
                <w:sz w:val="18"/>
              </w:rPr>
              <w:t>Update the definition to wrong PSCell change/addition should be splitting to sub cases: 1) the wrong candidate cell comes from the cell in the list provided by the initiating node or 2) the wrong candidate cell is selected by the target node.</w:t>
            </w:r>
          </w:p>
          <w:p>
            <w:pPr>
              <w:rPr>
                <w:rFonts w:ascii="Calibri" w:hAnsi="Calibri" w:cs="Calibri"/>
                <w:bCs/>
                <w:color w:val="008000"/>
                <w:sz w:val="18"/>
              </w:rPr>
            </w:pPr>
            <w:r>
              <w:rPr>
                <w:rFonts w:hint="eastAsia" w:ascii="Calibri" w:hAnsi="Calibri" w:cs="Calibri"/>
                <w:bCs/>
                <w:color w:val="008000"/>
                <w:sz w:val="18"/>
              </w:rPr>
              <w:t xml:space="preserve">Information available in the network nodes should not be included in the </w:t>
            </w:r>
            <w:r>
              <w:rPr>
                <w:rFonts w:hint="eastAsia" w:ascii="Calibri" w:hAnsi="Calibri" w:cs="Calibri"/>
                <w:bCs/>
                <w:i/>
                <w:iCs/>
                <w:color w:val="008000"/>
                <w:sz w:val="18"/>
              </w:rPr>
              <w:t>SCGFailureInformation</w:t>
            </w:r>
            <w:r>
              <w:rPr>
                <w:rFonts w:hint="eastAsia"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Reusing R17 signalling mechanism to report CPA/CPC failure/ related information over Xn from MN to source SN or last serving SN.</w:t>
            </w:r>
          </w:p>
          <w:p>
            <w:pPr>
              <w:rPr>
                <w:rFonts w:ascii="Calibri" w:hAnsi="Calibri" w:cs="Calibri"/>
                <w:bCs/>
                <w:color w:val="008000"/>
                <w:sz w:val="18"/>
              </w:rPr>
            </w:pPr>
            <w:r>
              <w:rPr>
                <w:rFonts w:hint="eastAsia" w:ascii="Calibri" w:hAnsi="Calibri" w:cs="Calibri"/>
                <w:bCs/>
                <w:color w:val="008000"/>
                <w:sz w:val="18"/>
              </w:rPr>
              <w:t>For MRO for CPC and CPA, if there are multiple events configured for CPA/CPC, the UE reports the first triggered CPAC event, and the time duration between the two triggered CPAC events.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Definitions of MRO events for CPAC will be introduced in TS 37.340 in a new chapter </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During CPAC configuration, the value of the Time Stay IE for the source PSCell UHI, sent in S-NODE ADDITION REQUEST message, does not reflect the exact time the UE stayed in the source PSCell. </w:t>
            </w:r>
          </w:p>
          <w:p>
            <w:pPr>
              <w:rPr>
                <w:rFonts w:ascii="Calibri" w:hAnsi="Calibri" w:cs="Calibri"/>
                <w:bCs/>
                <w:color w:val="008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73"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2"/>
              </w:numPr>
              <w:spacing w:after="120" w:line="256" w:lineRule="auto"/>
              <w:rPr>
                <w:rFonts w:ascii="Calibri" w:hAnsi="Calibri" w:eastAsia="MS Mincho" w:cs="Calibri"/>
                <w:color w:val="008000"/>
                <w:sz w:val="18"/>
                <w:szCs w:val="18"/>
                <w:lang w:val="en-GB" w:eastAsia="en-US"/>
              </w:rPr>
            </w:pPr>
            <w:bookmarkStart w:id="7"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ascii="Calibri" w:hAnsi="Calibri" w:cs="Calibri"/>
                <w:bCs/>
                <w:color w:val="008000"/>
                <w:sz w:val="18"/>
              </w:rPr>
            </w:pPr>
            <w:r>
              <w:rPr>
                <w:rFonts w:hint="eastAsia" w:ascii="Calibri" w:hAnsi="Calibri" w:cs="Calibri"/>
                <w:bCs/>
                <w:color w:val="008000"/>
                <w:sz w:val="18"/>
              </w:rPr>
              <w:t>It is beneficial for the UE to report at least the cause of the fast MCG recovery failure (at least T316 expiry, SCG failure) and also, if the problem is SCG failure, the SCG failure type (at least t310-Expiry, randomAccessProblem, rlc-MaxNumRetx).</w:t>
            </w:r>
            <w:bookmarkEnd w:id="7"/>
          </w:p>
          <w:p>
            <w:pPr>
              <w:rPr>
                <w:rFonts w:ascii="Calibri" w:hAnsi="Calibri" w:cs="Calibri"/>
                <w:bCs/>
                <w:color w:val="008000"/>
                <w:sz w:val="18"/>
              </w:rPr>
            </w:pPr>
            <w:r>
              <w:rPr>
                <w:rFonts w:hint="eastAsia" w:ascii="Calibri" w:hAnsi="Calibri" w:cs="Calibri"/>
                <w:bCs/>
                <w:color w:val="008000"/>
                <w:sz w:val="18"/>
              </w:rPr>
              <w:t>Sub-Case b1/Sub-Case b2 would not be considered for MRO for fast MCG recovery failure.</w:t>
            </w:r>
          </w:p>
          <w:p>
            <w:pPr>
              <w:rPr>
                <w:rFonts w:ascii="Calibri" w:hAnsi="Calibri" w:cs="Calibri"/>
                <w:bCs/>
                <w:color w:val="008000"/>
                <w:sz w:val="18"/>
              </w:rPr>
            </w:pPr>
            <w:r>
              <w:rPr>
                <w:rFonts w:hint="eastAsia" w:ascii="Calibri" w:hAnsi="Calibri" w:cs="Calibri"/>
                <w:bCs/>
                <w:color w:val="008000"/>
                <w:sz w:val="18"/>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Case f1, where the SCG fails or is deactivated yet before the UE sends the MCGFailureInformation is to be addressed. </w:t>
            </w:r>
          </w:p>
          <w:p>
            <w:pPr>
              <w:rPr>
                <w:rFonts w:ascii="Calibri" w:hAnsi="Calibri" w:cs="Calibri"/>
                <w:bCs/>
                <w:color w:val="008000"/>
                <w:sz w:val="18"/>
                <w:highlight w:val="none"/>
              </w:rPr>
            </w:pPr>
            <w:r>
              <w:rPr>
                <w:rFonts w:hint="eastAsia" w:ascii="Calibri" w:hAnsi="Calibri" w:cs="Calibri"/>
                <w:bCs/>
                <w:color w:val="008000"/>
                <w:sz w:val="18"/>
                <w:highlight w:val="none"/>
              </w:rPr>
              <w:t>Scenario ‘a’ is redefined: SCG fails when the UE is undergoing fast MCG recovery (i.e. SCG failure happens while T316 is running).</w:t>
            </w:r>
          </w:p>
          <w:p>
            <w:pPr>
              <w:rPr>
                <w:rFonts w:ascii="Calibri" w:hAnsi="Calibri" w:cs="Calibri"/>
                <w:bCs/>
                <w:color w:val="008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9"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rPr>
            </w:pPr>
            <w:r>
              <w:rPr>
                <w:rFonts w:ascii="Calibri" w:hAnsi="Calibri" w:eastAsia="等线" w:cs="Calibri"/>
                <w:bCs/>
                <w:color w:val="008000"/>
                <w:sz w:val="18"/>
              </w:rPr>
              <w:t>Turn the WA into an agreement: The RLF Report needs to indicate that the last failed inter-system inter-RAT HO was triggered due to voice fallback.</w:t>
            </w:r>
          </w:p>
          <w:p>
            <w:pPr>
              <w:rPr>
                <w:rFonts w:ascii="Calibri" w:hAnsi="Calibri" w:eastAsia="等线" w:cs="Calibri"/>
                <w:bCs/>
                <w:color w:val="008000"/>
                <w:sz w:val="18"/>
                <w:lang w:eastAsia="zh-CN"/>
              </w:rPr>
            </w:pPr>
            <w:r>
              <w:rPr>
                <w:rFonts w:hint="eastAsia" w:ascii="Calibri" w:hAnsi="Calibri" w:cs="Calibri"/>
                <w:bCs/>
                <w:color w:val="008000"/>
                <w:sz w:val="18"/>
                <w:highlight w:val="none"/>
              </w:rPr>
              <w:t>Stage-2 description of the detection mechanism will be introduced in TS 38.300 (based on </w:t>
            </w:r>
            <w:r>
              <w:rPr>
                <w:highlight w:val="none"/>
              </w:rPr>
              <w:fldChar w:fldCharType="begin"/>
            </w:r>
            <w:r>
              <w:rPr>
                <w:highlight w:val="none"/>
              </w:rPr>
              <w:instrText xml:space="preserve"> HYPERLINK "file:///C:\\Users\\cmcc\\AppData\\Local\\Microsoft\\Windows\\INetCache\\Content.Outlook\\Z49L12MO\\Inbox\\R3-231585.zip" </w:instrText>
            </w:r>
            <w:r>
              <w:rPr>
                <w:highlight w:val="none"/>
              </w:rPr>
              <w:fldChar w:fldCharType="separate"/>
            </w:r>
            <w:r>
              <w:rPr>
                <w:rFonts w:hint="eastAsia" w:ascii="Calibri" w:hAnsi="Calibri" w:cs="Calibri"/>
                <w:bCs/>
                <w:color w:val="008000"/>
                <w:sz w:val="18"/>
                <w:highlight w:val="none"/>
              </w:rPr>
              <w:t>R3-231585</w:t>
            </w:r>
            <w:r>
              <w:rPr>
                <w:rFonts w:hint="eastAsia" w:ascii="Calibri" w:hAnsi="Calibri" w:cs="Calibri"/>
                <w:bCs/>
                <w:color w:val="008000"/>
                <w:sz w:val="18"/>
                <w:highlight w:val="none"/>
              </w:rPr>
              <w:fldChar w:fldCharType="end"/>
            </w:r>
            <w:r>
              <w:rPr>
                <w:highlight w:val="none"/>
              </w:rPr>
              <w:fldChar w:fldCharType="begin"/>
            </w:r>
            <w:r>
              <w:rPr>
                <w:highlight w:val="none"/>
              </w:rPr>
              <w:instrText xml:space="preserve"> HYPERLINK "javascript:void(0);" \t "_blank" </w:instrText>
            </w:r>
            <w:r>
              <w:rPr>
                <w:highlight w:val="none"/>
              </w:rPr>
              <w:fldChar w:fldCharType="separate"/>
            </w:r>
            <w:r>
              <w:rPr>
                <w:highlight w:val="none"/>
              </w:rPr>
              <w:fldChar w:fldCharType="end"/>
            </w:r>
            <w:r>
              <w:rPr>
                <w:rFonts w:hint="eastAsia" w:ascii="Calibri" w:hAnsi="Calibri" w:cs="Calibri"/>
                <w:bCs/>
                <w:color w:val="008000"/>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hint="eastAsia" w:ascii="Calibri" w:hAnsi="Calibri" w:cs="Calibri"/>
                <w:color w:val="008000"/>
                <w:sz w:val="18"/>
                <w:szCs w:val="18"/>
              </w:rPr>
              <w:t>Scenarios</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optimization for feature or feature combinations involving RACH partitioning (SDT, RedCap, Coverage Enhancement, network slicing, …)</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report retrieval</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SN RACH report in MR-DC</w:t>
            </w:r>
          </w:p>
          <w:p>
            <w:pPr>
              <w:pStyle w:val="81"/>
              <w:spacing w:after="120" w:line="256" w:lineRule="auto"/>
              <w:rPr>
                <w:rFonts w:ascii="Calibri" w:hAnsi="Calibri" w:cs="Calibri"/>
                <w:color w:val="008000"/>
                <w:sz w:val="18"/>
                <w:szCs w:val="18"/>
              </w:rPr>
            </w:pPr>
          </w:p>
          <w:p>
            <w:pPr>
              <w:pStyle w:val="81"/>
              <w:spacing w:after="120" w:line="256" w:lineRule="auto"/>
              <w:ind w:left="0"/>
              <w:rPr>
                <w:rFonts w:ascii="Calibri" w:hAnsi="Calibri" w:cs="Calibri"/>
                <w:color w:val="008000"/>
                <w:sz w:val="18"/>
                <w:szCs w:val="18"/>
                <w:u w:val="single"/>
              </w:rPr>
            </w:pPr>
            <w:r>
              <w:rPr>
                <w:rFonts w:hint="eastAsia" w:ascii="Calibri" w:hAnsi="Calibri" w:cs="Calibri"/>
                <w:color w:val="008000"/>
                <w:sz w:val="18"/>
                <w:szCs w:val="18"/>
                <w:u w:val="single"/>
              </w:rPr>
              <w:t>RACH report retrieval:</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WA: RAN3 works on the network based solution for RACH report retrieval, i.e., gNB-DU indicates to gNB-CU about RACH occurrence</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 xml:space="preserve">WA: SN should indicate the potential availability of RA report to the MN, MN can fetch the RA report and transfer it to SN. </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Send LS to RAN2 with RAN3 assumption and ask RAN2 to provide feedback on UE based solution</w:t>
            </w:r>
          </w:p>
          <w:p>
            <w:pPr>
              <w:rPr>
                <w:rFonts w:ascii="Calibri" w:hAnsi="Calibri" w:eastAsia="等线" w:cs="Calibri"/>
                <w:bCs/>
                <w:color w:val="008000"/>
                <w:sz w:val="18"/>
              </w:rPr>
            </w:pPr>
            <w:r>
              <w:rPr>
                <w:rFonts w:ascii="Calibri" w:hAnsi="Calibri" w:eastAsia="等线" w:cs="Calibri"/>
                <w:bCs/>
                <w:color w:val="008000"/>
                <w:sz w:val="18"/>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hint="eastAsia" w:ascii="Calibri" w:hAnsi="Calibri" w:cs="Calibri" w:eastAsiaTheme="minorEastAsia"/>
                <w:bCs/>
                <w:color w:val="008000"/>
                <w:sz w:val="18"/>
                <w:lang w:eastAsia="zh-CN"/>
              </w:rPr>
            </w:pPr>
            <w:r>
              <w:rPr>
                <w:rFonts w:ascii="Calibri" w:hAnsi="Calibri" w:cs="Calibri"/>
                <w:bCs/>
                <w:color w:val="008000"/>
                <w:sz w:val="18"/>
              </w:rPr>
              <w:t>Define a new class-2 F1AP message (e.g., RACH INDICATION) to indicate certain RACH occurrence(s) from gNB-DU to gNB-CU</w:t>
            </w:r>
          </w:p>
          <w:p>
            <w:pPr>
              <w:overflowPunct/>
              <w:autoSpaceDE/>
              <w:adjustRightInd/>
              <w:spacing w:before="100" w:beforeAutospacing="1" w:after="240"/>
              <w:textAlignment w:val="auto"/>
              <w:rPr>
                <w:rFonts w:hint="eastAsia" w:ascii="Calibri" w:hAnsi="Calibri" w:cs="Calibri"/>
                <w:bCs/>
                <w:color w:val="auto"/>
                <w:sz w:val="18"/>
              </w:rPr>
            </w:pPr>
            <w:r>
              <w:rPr>
                <w:rFonts w:ascii="Calibri" w:hAnsi="Calibri" w:cs="Calibri"/>
                <w:bCs/>
                <w:color w:val="auto"/>
                <w:sz w:val="18"/>
              </w:rPr>
              <w:t>Rely LS on RACH enhancement for R18 SONMDT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Only gNB-CU UE F1AP ID is included in the RACH INDICATION message.</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The Random Access Indication IE in the RACH INDICATION message is not needed.</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The criticality of the RACH indication list IE in the RACH INDICATION message is “reject”.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To align the naming of RA report with RAN2 spec in TS 38.300, TS 38.401, TS 38.423 and TS 38.473.</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 xml:space="preserve">To use “RA report” in TS 38.300, TS 38.401, TS 38.423 and TS 38.473. </w:t>
            </w: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SN RACH report in MR-DC</w:t>
            </w:r>
          </w:p>
          <w:p>
            <w:pPr>
              <w:rPr>
                <w:rFonts w:ascii="Calibri" w:hAnsi="Calibri" w:cs="Calibri"/>
                <w:bCs/>
                <w:color w:val="008000"/>
                <w:sz w:val="18"/>
              </w:rPr>
            </w:pPr>
            <w:r>
              <w:rPr>
                <w:rFonts w:ascii="Calibri" w:hAnsi="Calibri" w:cs="Calibri"/>
                <w:bCs/>
                <w:color w:val="008000"/>
                <w:sz w:val="18"/>
              </w:rPr>
              <w:t>RAN3 has supported EN-DC, (NG)EN-DC, and NR-DC scenarios in Rel-17. No further work will be triggered in RAN3.</w:t>
            </w:r>
          </w:p>
          <w:p>
            <w:pPr>
              <w:rPr>
                <w:rFonts w:ascii="Calibri" w:hAnsi="Calibri" w:cs="Calibri"/>
                <w:bCs/>
                <w:color w:val="008000"/>
                <w:sz w:val="18"/>
              </w:rPr>
            </w:pPr>
            <w:r>
              <w:rPr>
                <w:rFonts w:ascii="Calibri" w:hAnsi="Calibri" w:cs="Calibri"/>
                <w:bCs/>
                <w:color w:val="008000"/>
                <w:sz w:val="18"/>
              </w:rPr>
              <w:t>If RAN2 decides to support SN RA Report for EN-DC and (NG)EN-DC, UE should report the PScell identity outside the RACH report to help the network forward the report to the correct node.</w:t>
            </w:r>
          </w:p>
          <w:p>
            <w:pPr>
              <w:pStyle w:val="81"/>
              <w:spacing w:after="120" w:line="256" w:lineRule="auto"/>
              <w:ind w:left="0"/>
              <w:rPr>
                <w:rFonts w:ascii="Calibri" w:hAnsi="Calibri" w:cs="Calibri"/>
                <w:sz w:val="18"/>
                <w:szCs w:val="18"/>
                <w:lang w:val="en-GB"/>
              </w:rPr>
            </w:pPr>
            <w:r>
              <w:rPr>
                <w:rFonts w:hint="eastAsia" w:ascii="Calibri" w:hAnsi="Calibri" w:cs="Calibri"/>
                <w:sz w:val="18"/>
                <w:szCs w:val="18"/>
                <w:lang w:val="en-GB"/>
              </w:rPr>
              <w:t xml:space="preserve">Reply LS to RAN2 on </w:t>
            </w:r>
            <w:r>
              <w:rPr>
                <w:rFonts w:ascii="Calibri" w:hAnsi="Calibri" w:cs="Calibri"/>
                <w:sz w:val="18"/>
                <w:szCs w:val="18"/>
              </w:rPr>
              <w:t>SN RACH report in MR-DC</w:t>
            </w:r>
            <w:r>
              <w:rPr>
                <w:rFonts w:hint="eastAsia" w:ascii="Calibri" w:hAnsi="Calibri" w:cs="Calibri"/>
                <w:sz w:val="18"/>
                <w:szCs w:val="18"/>
              </w:rPr>
              <w:t xml:space="preserve"> is agreed</w:t>
            </w:r>
          </w:p>
          <w:p>
            <w:pPr>
              <w:pStyle w:val="81"/>
              <w:spacing w:after="120" w:line="256" w:lineRule="auto"/>
              <w:ind w:left="0"/>
              <w:rPr>
                <w:rFonts w:ascii="Calibri" w:hAnsi="Calibri" w:cs="Calibri"/>
                <w:color w:val="008000"/>
                <w:sz w:val="18"/>
                <w:szCs w:val="18"/>
                <w:u w:val="single"/>
              </w:rPr>
            </w:pP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RACH optimization for feature or feature combinations</w:t>
            </w:r>
          </w:p>
          <w:p>
            <w:pPr>
              <w:pStyle w:val="81"/>
              <w:spacing w:after="120" w:line="256" w:lineRule="auto"/>
              <w:ind w:left="0"/>
              <w:rPr>
                <w:rFonts w:ascii="Calibri" w:hAnsi="Calibri" w:cs="Calibri"/>
                <w:bCs/>
                <w:color w:val="008000"/>
                <w:sz w:val="18"/>
              </w:rPr>
            </w:pPr>
            <w:r>
              <w:rPr>
                <w:rFonts w:ascii="Calibri" w:hAnsi="Calibri" w:cs="Calibri"/>
                <w:bCs/>
                <w:color w:val="008000"/>
                <w:sz w:val="18"/>
              </w:rPr>
              <w:t>RA report is enhanced to include feature combination related information</w:t>
            </w:r>
            <w:r>
              <w:rPr>
                <w:rFonts w:hint="eastAsia" w:ascii="Calibri" w:hAnsi="Calibri" w:cs="Calibri"/>
                <w:bCs/>
                <w:color w:val="008000"/>
                <w:sz w:val="18"/>
              </w:rPr>
              <w:t>.</w:t>
            </w:r>
          </w:p>
          <w:p>
            <w:pPr>
              <w:pStyle w:val="81"/>
              <w:spacing w:after="120" w:line="256" w:lineRule="auto"/>
              <w:ind w:left="0"/>
              <w:rPr>
                <w:rFonts w:ascii="Calibri" w:hAnsi="Calibri" w:cs="Calibri"/>
                <w:color w:val="008000"/>
                <w:sz w:val="18"/>
                <w:szCs w:val="18"/>
                <w:u w:val="single"/>
              </w:rPr>
            </w:pPr>
          </w:p>
          <w:p>
            <w:pPr>
              <w:rPr>
                <w:rFonts w:ascii="Calibri" w:hAnsi="Calibri" w:eastAsia="等线" w:cs="Calibri"/>
                <w:bCs/>
                <w:color w:val="008000"/>
                <w:sz w:val="18"/>
              </w:rPr>
            </w:pPr>
            <w:r>
              <w:rPr>
                <w:rFonts w:ascii="Calibri" w:hAnsi="Calibri" w:eastAsia="等线" w:cs="Calibri"/>
                <w:bCs/>
                <w:color w:val="008000"/>
                <w:sz w:val="18"/>
              </w:rPr>
              <w:t>SN should indicate the potential availability of RA report to the MN, MN can fetch the RA report and transfer it to SN</w:t>
            </w:r>
          </w:p>
          <w:p>
            <w:pPr>
              <w:rPr>
                <w:rFonts w:ascii="Calibri" w:hAnsi="Calibri" w:eastAsia="等线" w:cs="Calibri"/>
                <w:bCs/>
                <w:color w:val="008000"/>
                <w:sz w:val="18"/>
              </w:rPr>
            </w:pPr>
            <w:r>
              <w:rPr>
                <w:rFonts w:ascii="Calibri" w:hAnsi="Calibri" w:eastAsia="等线" w:cs="Calibri"/>
                <w:bCs/>
                <w:color w:val="008000"/>
                <w:sz w:val="18"/>
              </w:rPr>
              <w:t>Define a new class-2 message (e.g., RACH INDICATION) over Xn so that the S-NG-RAN can inform M-NG-RAN that one or more RACH reports are available at the UE.</w:t>
            </w:r>
          </w:p>
          <w:p>
            <w:pPr>
              <w:rPr>
                <w:rFonts w:ascii="Calibri" w:hAnsi="Calibri" w:eastAsia="等线" w:cs="Calibri"/>
                <w:bCs/>
                <w:color w:val="008000"/>
                <w:sz w:val="18"/>
              </w:rPr>
            </w:pPr>
            <w:r>
              <w:rPr>
                <w:rFonts w:ascii="Calibri" w:hAnsi="Calibri" w:eastAsia="等线" w:cs="Calibri"/>
                <w:bCs/>
                <w:color w:val="008000"/>
                <w:sz w:val="18"/>
              </w:rPr>
              <w:t>The new Xn message should be non-UE associated.</w:t>
            </w:r>
          </w:p>
          <w:p>
            <w:pPr>
              <w:rPr>
                <w:rFonts w:ascii="Calibri" w:hAnsi="Calibri" w:eastAsia="等线" w:cs="Calibri"/>
                <w:bCs/>
                <w:color w:val="008000"/>
                <w:sz w:val="18"/>
              </w:rPr>
            </w:pPr>
            <w:r>
              <w:rPr>
                <w:rFonts w:ascii="Calibri" w:hAnsi="Calibri" w:eastAsia="等线" w:cs="Calibri"/>
                <w:bCs/>
                <w:color w:val="008000"/>
                <w:sz w:val="18"/>
              </w:rPr>
              <w:t>XnAP and F1AP TPs</w:t>
            </w:r>
            <w:r>
              <w:rPr>
                <w:rFonts w:hint="eastAsia" w:ascii="Calibri" w:hAnsi="Calibri" w:eastAsia="等线" w:cs="Calibri"/>
                <w:bCs/>
                <w:color w:val="008000"/>
                <w:sz w:val="18"/>
                <w:lang w:eastAsia="zh-CN"/>
              </w:rPr>
              <w:t xml:space="preserve"> agreed</w:t>
            </w:r>
            <w:r>
              <w:rPr>
                <w:rFonts w:ascii="Calibri" w:hAnsi="Calibri" w:eastAsia="等线" w:cs="Calibri"/>
                <w:bCs/>
                <w:color w:val="008000"/>
                <w:sz w:val="18"/>
              </w:rPr>
              <w:t xml:space="preserve"> </w:t>
            </w:r>
          </w:p>
          <w:p>
            <w:pPr>
              <w:rPr>
                <w:rFonts w:hint="eastAsia" w:ascii="Calibri" w:hAnsi="Calibri" w:eastAsia="等线" w:cs="Calibri"/>
                <w:bCs/>
                <w:color w:val="008000"/>
                <w:sz w:val="18"/>
                <w:lang w:eastAsia="zh-CN"/>
              </w:rPr>
            </w:pPr>
            <w:r>
              <w:rPr>
                <w:rFonts w:hint="eastAsia" w:ascii="Calibri" w:hAnsi="Calibri" w:eastAsia="等线" w:cs="Calibri"/>
                <w:bCs/>
                <w:color w:val="008000"/>
                <w:sz w:val="18"/>
              </w:rPr>
              <w:t>U</w:t>
            </w:r>
            <w:r>
              <w:rPr>
                <w:rFonts w:ascii="Calibri" w:hAnsi="Calibri" w:eastAsia="等线" w:cs="Calibri"/>
                <w:bCs/>
                <w:color w:val="008000"/>
                <w:sz w:val="18"/>
              </w:rPr>
              <w:t>sing non-UE associated sigalling for RACH Indication over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rPr>
            </w:pPr>
            <w:r>
              <w:rPr>
                <w:rFonts w:ascii="Calibri" w:hAnsi="Calibri" w:cs="Calibri"/>
                <w:bCs/>
                <w:color w:val="008000"/>
                <w:sz w:val="18"/>
                <w:szCs w:val="24"/>
              </w:rPr>
              <w:t>Wait SA3's response for NPN user consent to check if any RAN3 impact</w:t>
            </w:r>
            <w:r>
              <w:rPr>
                <w:rFonts w:hint="eastAsia" w:ascii="Calibri" w:hAnsi="Calibri" w:eastAsia="等线" w:cs="Calibri"/>
                <w:bCs/>
                <w:color w:val="008000"/>
                <w:sz w:val="18"/>
                <w:szCs w:val="24"/>
              </w:rPr>
              <w:t>.</w:t>
            </w:r>
          </w:p>
          <w:p>
            <w:pPr>
              <w:rPr>
                <w:rFonts w:ascii="Calibri" w:hAnsi="Calibri" w:cs="Calibri"/>
                <w:bCs/>
                <w:color w:val="008000"/>
                <w:sz w:val="18"/>
                <w:szCs w:val="24"/>
              </w:rPr>
            </w:pPr>
            <w:r>
              <w:rPr>
                <w:rFonts w:ascii="Calibri" w:hAnsi="Calibri" w:cs="Calibri"/>
                <w:bCs/>
                <w:color w:val="008000"/>
                <w:sz w:val="18"/>
                <w:szCs w:val="24"/>
              </w:rPr>
              <w:t>The use cases RAN3 should support are:</w:t>
            </w:r>
          </w:p>
          <w:p>
            <w:pPr>
              <w:rPr>
                <w:rFonts w:ascii="Calibri" w:hAnsi="Calibri" w:cs="Calibri"/>
                <w:bCs/>
                <w:color w:val="008000"/>
                <w:sz w:val="18"/>
                <w:szCs w:val="24"/>
              </w:rPr>
            </w:pPr>
            <w:r>
              <w:rPr>
                <w:rFonts w:ascii="Calibri" w:hAnsi="Calibri" w:cs="Calibri"/>
                <w:bCs/>
                <w:color w:val="008000"/>
                <w:sz w:val="18"/>
                <w:szCs w:val="24"/>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rPr>
            </w:pPr>
            <w:r>
              <w:rPr>
                <w:rFonts w:ascii="Calibri" w:hAnsi="Calibri" w:cs="Calibri"/>
                <w:bCs/>
                <w:color w:val="008000"/>
                <w:sz w:val="18"/>
                <w:szCs w:val="24"/>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rPr>
            </w:pPr>
            <w:r>
              <w:rPr>
                <w:rFonts w:ascii="Calibri" w:hAnsi="Calibri" w:cs="Calibri"/>
                <w:bCs/>
                <w:color w:val="008000"/>
                <w:sz w:val="18"/>
              </w:rPr>
              <w:t>Agree to the addition of a CAG list inside and outside the current choice structure for the MDT Area Scope. Further enhancements are FFS</w:t>
            </w:r>
          </w:p>
          <w:p>
            <w:pPr>
              <w:rPr>
                <w:rFonts w:ascii="Calibri" w:hAnsi="Calibri" w:cs="Calibri"/>
                <w:bCs/>
                <w:color w:val="008000"/>
                <w:sz w:val="18"/>
                <w:szCs w:val="18"/>
              </w:rPr>
            </w:pPr>
            <w:r>
              <w:rPr>
                <w:rFonts w:ascii="Calibri" w:hAnsi="Calibri" w:cs="Calibri"/>
                <w:bCs/>
                <w:color w:val="008000"/>
                <w:sz w:val="18"/>
                <w:szCs w:val="18"/>
              </w:rPr>
              <w:t>RAN3 to focus on the following use case for SNPN and to continue discussions on how to address MDT Area Scope for specific cells or TAs of an SNPN:</w:t>
            </w:r>
          </w:p>
          <w:p>
            <w:pPr>
              <w:rPr>
                <w:rFonts w:ascii="Calibri" w:hAnsi="Calibri" w:cs="Calibri"/>
                <w:bCs/>
                <w:color w:val="008000"/>
                <w:sz w:val="18"/>
                <w:szCs w:val="18"/>
              </w:rPr>
            </w:pPr>
            <w:r>
              <w:rPr>
                <w:rFonts w:ascii="Calibri" w:hAnsi="Calibri" w:cs="Calibri"/>
                <w:bCs/>
                <w:color w:val="008000"/>
                <w:sz w:val="18"/>
                <w:szCs w:val="18"/>
              </w:rPr>
              <w:t xml:space="preserve">Use Case 3: Enable collection of MDT measurements in the SNPN where the UE is registered. </w:t>
            </w:r>
          </w:p>
          <w:p>
            <w:pPr>
              <w:rPr>
                <w:rFonts w:ascii="Calibri" w:hAnsi="Calibri" w:cs="Calibri"/>
                <w:bCs/>
                <w:color w:val="008000"/>
                <w:sz w:val="18"/>
                <w:szCs w:val="18"/>
              </w:rPr>
            </w:pPr>
            <w:r>
              <w:rPr>
                <w:rFonts w:hint="eastAsia" w:ascii="Calibri" w:hAnsi="Calibri" w:cs="Calibri"/>
                <w:bCs/>
                <w:color w:val="008000"/>
                <w:sz w:val="18"/>
                <w:szCs w:val="18"/>
              </w:rPr>
              <w:t>Wait for SA3 LS on</w:t>
            </w:r>
            <w:r>
              <w:rPr>
                <w:rFonts w:ascii="Calibri" w:hAnsi="Calibri" w:cs="Calibri"/>
                <w:bCs/>
                <w:color w:val="008000"/>
                <w:sz w:val="18"/>
                <w:szCs w:val="18"/>
              </w:rPr>
              <w:t xml:space="preserve"> MDT user consent for NPN.</w:t>
            </w:r>
          </w:p>
          <w:p>
            <w:pPr>
              <w:rPr>
                <w:rFonts w:ascii="Calibri" w:hAnsi="Calibri" w:cs="Calibri"/>
                <w:bCs/>
                <w:color w:val="008000"/>
                <w:sz w:val="18"/>
                <w:highlight w:val="none"/>
              </w:rPr>
            </w:pPr>
            <w:r>
              <w:rPr>
                <w:rFonts w:hint="eastAsia" w:ascii="Calibri" w:hAnsi="Calibri" w:cs="Calibri"/>
                <w:bCs/>
                <w:color w:val="008000"/>
                <w:sz w:val="18"/>
                <w:highlight w:val="none"/>
              </w:rPr>
              <w:t>How to introduce NID or PNI-NPN ID into SON/MDT reports depends on RAN2’s decision.</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It is up to configuration and operator’s policies whether PN and NPN information can be included in the UE History Information. </w:t>
            </w:r>
          </w:p>
          <w:p>
            <w:pPr>
              <w:rPr>
                <w:rFonts w:ascii="Calibri" w:hAnsi="Calibri" w:cs="Calibri"/>
                <w:bCs/>
                <w:color w:val="008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0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rPr>
                <w:rFonts w:ascii="Calibri" w:hAnsi="Calibri" w:cs="Calibri"/>
                <w:bCs/>
                <w:color w:val="008000"/>
                <w:sz w:val="18"/>
                <w:highlight w:val="none"/>
              </w:rPr>
            </w:pPr>
            <w:r>
              <w:rPr>
                <w:rFonts w:hint="eastAsia" w:ascii="Calibri" w:hAnsi="Calibri" w:cs="Calibri"/>
                <w:bCs/>
                <w:color w:val="008000"/>
                <w:sz w:val="18"/>
                <w:highlight w:val="none"/>
              </w:rPr>
              <w:t>Enhancements of RLF reports and RA reports are beneficial to separate mobility related errors from the LBT-related ones.</w:t>
            </w:r>
          </w:p>
          <w:p>
            <w:pPr>
              <w:rPr>
                <w:rFonts w:ascii="Calibri" w:hAnsi="Calibri" w:cs="Calibri"/>
                <w:bCs/>
                <w:color w:val="008000"/>
                <w:sz w:val="18"/>
                <w:highlight w:val="none"/>
              </w:rPr>
            </w:pPr>
            <w:r>
              <w:rPr>
                <w:rFonts w:hint="eastAsia" w:ascii="Calibri" w:hAnsi="Calibri" w:cs="Calibri"/>
                <w:bCs/>
                <w:color w:val="008000"/>
                <w:sz w:val="18"/>
                <w:highlight w:val="none"/>
              </w:rPr>
              <w:t>RLF Report and RA report can be enhanced to include information concerning the LBT failures in RA procedures, the granularity and implementation details needs to be further discussed based on progress in RAN2.</w:t>
            </w: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eastAsia="宋体" w:cs="Calibri"/>
                <w:color w:val="000000"/>
                <w:sz w:val="18"/>
                <w:szCs w:val="18"/>
                <w:lang w:val="en-US"/>
              </w:rPr>
            </w:pPr>
            <w:r>
              <w:rPr>
                <w:rFonts w:ascii="Calibri" w:hAnsi="Calibri" w:eastAsia="宋体" w:cs="Calibri"/>
                <w:color w:val="000000"/>
                <w:sz w:val="18"/>
                <w:szCs w:val="18"/>
                <w:lang w:val="en-US"/>
              </w:rPr>
              <w:t xml:space="preserve">Reply LS in </w:t>
            </w:r>
            <w:r>
              <w:fldChar w:fldCharType="begin"/>
            </w:r>
            <w:r>
              <w:instrText xml:space="preserve"> HYPERLINK "file:///C:\\Users\\cmcc\\Documents\\WeChat%20Files\\liangzai936046\\FileStorage\\File\\2022-11\\Inbox\\R3-226809.zip" </w:instrText>
            </w:r>
            <w:r>
              <w:fldChar w:fldCharType="separate"/>
            </w:r>
            <w:r>
              <w:rPr>
                <w:rFonts w:ascii="Calibri" w:hAnsi="Calibri" w:eastAsia="宋体" w:cs="Calibri"/>
                <w:color w:val="000000"/>
                <w:sz w:val="18"/>
                <w:szCs w:val="18"/>
                <w:lang w:val="en-US"/>
              </w:rPr>
              <w:t>R3-226809</w:t>
            </w:r>
            <w:r>
              <w:rPr>
                <w:rFonts w:ascii="Calibri" w:hAnsi="Calibri" w:eastAsia="宋体" w:cs="Calibri"/>
                <w:color w:val="000000"/>
                <w:sz w:val="18"/>
                <w:szCs w:val="18"/>
                <w:lang w:val="en-US"/>
              </w:rPr>
              <w:fldChar w:fldCharType="end"/>
            </w:r>
            <w:r>
              <w:rPr>
                <w:rFonts w:ascii="Calibri" w:hAnsi="Calibri" w:eastAsia="宋体" w:cs="Calibri"/>
                <w:color w:val="000000"/>
                <w:sz w:val="18"/>
                <w:szCs w:val="18"/>
                <w:lang w:val="en-US"/>
              </w:rPr>
              <w:t xml:space="preserve"> Agreed</w:t>
            </w:r>
          </w:p>
          <w:p>
            <w:pPr>
              <w:rPr>
                <w:rFonts w:ascii="Calibri" w:hAnsi="Calibri" w:cs="Calibri"/>
                <w:bCs/>
                <w:color w:val="008000"/>
                <w:sz w:val="18"/>
              </w:rPr>
            </w:pPr>
            <w:r>
              <w:rPr>
                <w:rFonts w:hint="eastAsia" w:ascii="Calibri" w:hAnsi="Calibri" w:cs="Calibri"/>
                <w:bCs/>
                <w:color w:val="008000"/>
                <w:sz w:val="18"/>
              </w:rPr>
              <w:t>D</w:t>
            </w:r>
            <w:r>
              <w:rPr>
                <w:rFonts w:ascii="Calibri" w:hAnsi="Calibri" w:cs="Calibri"/>
                <w:bCs/>
                <w:color w:val="008000"/>
                <w:sz w:val="18"/>
              </w:rPr>
              <w:t xml:space="preserve">U </w:t>
            </w:r>
            <w:r>
              <w:rPr>
                <w:rFonts w:hint="eastAsia" w:ascii="Calibri" w:hAnsi="Calibri" w:cs="Calibri"/>
                <w:bCs/>
                <w:color w:val="008000"/>
                <w:sz w:val="18"/>
              </w:rPr>
              <w:t>s</w:t>
            </w:r>
            <w:r>
              <w:rPr>
                <w:rFonts w:ascii="Calibri" w:hAnsi="Calibri" w:cs="Calibri"/>
                <w:bCs/>
                <w:color w:val="008000"/>
                <w:sz w:val="18"/>
              </w:rPr>
              <w:t>hall report the UL COT to CU in resource status report procedure when it is requested by CU, how to obtained this information by DU is up to implementation.</w:t>
            </w:r>
          </w:p>
          <w:p>
            <w:pPr>
              <w:rPr>
                <w:rFonts w:ascii="Calibri" w:hAnsi="Calibri" w:cs="Calibri"/>
                <w:bCs/>
                <w:color w:val="008000"/>
                <w:sz w:val="18"/>
              </w:rPr>
            </w:pPr>
            <w:r>
              <w:rPr>
                <w:rFonts w:ascii="Calibri" w:hAnsi="Calibri" w:cs="Calibri"/>
                <w:bCs/>
                <w:color w:val="008000"/>
                <w:sz w:val="18"/>
              </w:rPr>
              <w:t>The granularity of UL COT reporting in F1 interface should be NR-U channel level.</w:t>
            </w:r>
          </w:p>
          <w:p>
            <w:pPr>
              <w:rPr>
                <w:rFonts w:ascii="Calibri" w:hAnsi="Calibri" w:cs="Calibri"/>
                <w:bCs/>
                <w:color w:val="008000"/>
                <w:sz w:val="18"/>
                <w:highlight w:val="none"/>
              </w:rPr>
            </w:pPr>
            <w:r>
              <w:rPr>
                <w:rFonts w:hint="eastAsia" w:ascii="Calibri" w:hAnsi="Calibri" w:cs="Calibri"/>
                <w:bCs/>
                <w:color w:val="008000"/>
                <w:sz w:val="18"/>
                <w:highlight w:val="none"/>
              </w:rPr>
              <w:t>WA: a gNB sends in resource status reporting via Xn an EDT UL that reflects at least the maximum EDT UL configured for the 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The presence of COT percentage UL in F1 is optional. </w:t>
            </w:r>
          </w:p>
          <w:p>
            <w:pPr>
              <w:rPr>
                <w:rFonts w:ascii="Calibri" w:hAnsi="Calibri" w:cs="Calibri"/>
                <w:bCs/>
                <w:color w:val="008000"/>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0" w:hRule="atLeast"/>
        </w:trPr>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cs="Calibri"/>
                <w:b/>
                <w:color w:val="008000"/>
                <w:sz w:val="18"/>
                <w:szCs w:val="18"/>
              </w:rPr>
            </w:pPr>
            <w:r>
              <w:rPr>
                <w:rFonts w:ascii="Calibri" w:hAnsi="Calibri" w:cs="Calibri"/>
                <w:b/>
                <w:color w:val="008000"/>
                <w:sz w:val="18"/>
                <w:szCs w:val="18"/>
              </w:rPr>
              <w:t>No need to send LS to RAN2 for supporting the reverse use case.</w:t>
            </w:r>
          </w:p>
          <w:p>
            <w:pPr>
              <w:widowControl w:val="0"/>
              <w:spacing w:after="0"/>
              <w:rPr>
                <w:rFonts w:ascii="Calibri" w:hAnsi="Calibri" w:cs="Calibri"/>
                <w:b/>
                <w:color w:val="008000"/>
                <w:sz w:val="18"/>
                <w:szCs w:val="18"/>
              </w:rPr>
            </w:pPr>
          </w:p>
          <w:p>
            <w:pPr>
              <w:rPr>
                <w:rFonts w:ascii="Calibri" w:hAnsi="Calibri" w:cs="Calibri"/>
                <w:bCs/>
                <w:color w:val="008000"/>
                <w:sz w:val="18"/>
                <w:highlight w:val="none"/>
              </w:rPr>
            </w:pPr>
            <w:r>
              <w:rPr>
                <w:rFonts w:hint="eastAsia" w:ascii="Calibri" w:hAnsi="Calibri" w:cs="Calibri"/>
                <w:bCs/>
                <w:color w:val="008000"/>
                <w:sz w:val="18"/>
                <w:highlight w:val="none"/>
              </w:rPr>
              <w:t xml:space="preserve">RAN3 confirms that the scenarios for inter-RAT signalling based logged MDT protection includes the following:  </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1: Inter-system inter-RAT: EPC –&gt; 5GC</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2: Intra-system Inter-RAT and intra-5GC: LTE –&gt; NR</w:t>
            </w:r>
          </w:p>
          <w:p>
            <w:pPr>
              <w:widowControl w:val="0"/>
              <w:spacing w:after="0"/>
              <w:rPr>
                <w:rFonts w:ascii="Calibri" w:hAnsi="Calibri" w:cs="Calibri"/>
                <w:b/>
                <w:color w:val="008000"/>
                <w:sz w:val="18"/>
                <w:szCs w:val="18"/>
                <w:lang w:eastAsia="zh-CN"/>
              </w:rPr>
            </w:pPr>
            <w:r>
              <w:rPr>
                <w:rFonts w:ascii="Calibri" w:hAnsi="Calibri" w:cs="Calibri"/>
                <w:b/>
                <w:iCs/>
                <w:color w:val="FF0000"/>
                <w:kern w:val="2"/>
                <w:sz w:val="16"/>
                <w:szCs w:val="16"/>
              </w:rPr>
              <w:t xml:space="preserve">RAN3 confirms that </w:t>
            </w:r>
            <w:r>
              <w:rPr>
                <w:rFonts w:hint="eastAsia" w:ascii="Calibri" w:hAnsi="Calibri" w:cs="Calibri"/>
                <w:b/>
                <w:iCs/>
                <w:color w:val="FF0000"/>
                <w:kern w:val="2"/>
                <w:sz w:val="16"/>
                <w:szCs w:val="16"/>
              </w:rPr>
              <w:t>NR requested M-based logged MDT should never override LTE s-based logged MDT.</w:t>
            </w:r>
          </w:p>
        </w:tc>
      </w:tr>
    </w:tbl>
    <w:p>
      <w:pPr>
        <w:rPr>
          <w:rFonts w:eastAsiaTheme="minorEastAsia"/>
          <w:lang w:eastAsia="zh-CN"/>
        </w:rPr>
      </w:pPr>
    </w:p>
    <w:p>
      <w:pPr>
        <w:pStyle w:val="3"/>
        <w:rPr>
          <w:lang w:val="en-US" w:eastAsia="zh-CN"/>
        </w:rPr>
      </w:pPr>
      <w:r>
        <w:rPr>
          <w:lang w:val="en-US" w:eastAsia="zh-CN"/>
        </w:rPr>
        <w:t xml:space="preserve">3.2 </w:t>
      </w:r>
      <w:r>
        <w:rPr>
          <w:rFonts w:hint="eastAsia"/>
          <w:lang w:val="en-US" w:eastAsia="zh-CN"/>
        </w:rPr>
        <w:t>Way forward for RAN3 #11</w:t>
      </w:r>
      <w:r>
        <w:rPr>
          <w:lang w:val="en-US" w:eastAsia="zh-CN"/>
        </w:rPr>
        <w:t>9bis-e</w:t>
      </w:r>
      <w:r>
        <w:rPr>
          <w:rFonts w:hint="eastAsia"/>
          <w:lang w:val="en-US" w:eastAsia="zh-CN"/>
        </w:rPr>
        <w:t xml:space="preserve"> meeting</w:t>
      </w:r>
    </w:p>
    <w:p>
      <w:pPr>
        <w:jc w:val="both"/>
        <w:rPr>
          <w:rFonts w:ascii="Times New Roman" w:hAnsi="Times New Roman" w:eastAsiaTheme="minorEastAsia"/>
          <w:lang w:eastAsia="zh-CN"/>
        </w:rPr>
      </w:pPr>
      <w:r>
        <w:rPr>
          <w:rFonts w:hint="eastAsia" w:ascii="Times New Roman" w:hAnsi="Times New Roman" w:eastAsiaTheme="minorEastAsia"/>
          <w:lang w:eastAsia="zh-CN"/>
        </w:rPr>
        <w:t xml:space="preserve">According to the progress of RAN3 and RAN2 in August meeting, the </w:t>
      </w:r>
      <w:r>
        <w:rPr>
          <w:rFonts w:ascii="Times New Roman" w:hAnsi="Times New Roman" w:eastAsiaTheme="minorEastAsia"/>
          <w:lang w:eastAsia="zh-CN"/>
        </w:rPr>
        <w:t>following</w:t>
      </w:r>
      <w:r>
        <w:rPr>
          <w:rFonts w:hint="eastAsia" w:ascii="Times New Roman" w:hAnsi="Times New Roman" w:eastAsiaTheme="minorEastAsia"/>
          <w:lang w:eastAsia="zh-CN"/>
        </w:rPr>
        <w:t xml:space="preserve"> topics can be focused at RAN3 #11</w:t>
      </w:r>
      <w:r>
        <w:rPr>
          <w:rFonts w:ascii="Times New Roman" w:hAnsi="Times New Roman" w:eastAsiaTheme="minorEastAsia"/>
          <w:lang w:val="en-US" w:eastAsia="zh-CN"/>
        </w:rPr>
        <w:t>9</w:t>
      </w:r>
      <w:r>
        <w:rPr>
          <w:rFonts w:hint="eastAsia" w:ascii="Times New Roman" w:hAnsi="Times New Roman" w:eastAsiaTheme="minorEastAsia"/>
          <w:lang w:eastAsia="zh-CN"/>
        </w:rPr>
        <w:t xml:space="preserve"> meeting,</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I</w:t>
      </w:r>
      <w:r>
        <w:rPr>
          <w:rFonts w:hint="eastAsia" w:ascii="Times New Roman" w:hAnsi="Times New Roman" w:eastAsiaTheme="minorEastAsia"/>
          <w:sz w:val="20"/>
          <w:szCs w:val="20"/>
          <w:lang w:eastAsia="zh-CN"/>
        </w:rPr>
        <w:t xml:space="preserve">nter-RAT </w:t>
      </w:r>
      <w:r>
        <w:rPr>
          <w:rFonts w:ascii="Times New Roman" w:hAnsi="Times New Roman" w:eastAsiaTheme="minorEastAsia"/>
          <w:sz w:val="20"/>
          <w:szCs w:val="20"/>
          <w:lang w:eastAsia="zh-CN"/>
        </w:rPr>
        <w:t>SHR and SPR</w:t>
      </w:r>
    </w:p>
    <w:p>
      <w:pPr>
        <w:pStyle w:val="61"/>
        <w:numPr>
          <w:ilvl w:val="0"/>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enhancement</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CPAC</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fast MCG recovery</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inter-system voice fallback</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RACH enhancements</w:t>
      </w:r>
      <w:r>
        <w:rPr>
          <w:rFonts w:hint="eastAsia" w:ascii="Times New Roman" w:hAnsi="Times New Roman" w:eastAsiaTheme="minorEastAsia"/>
          <w:sz w:val="20"/>
          <w:szCs w:val="20"/>
          <w:lang w:eastAsia="zh-CN"/>
        </w:rPr>
        <w:t xml:space="preserve"> (not much left, could focus on</w:t>
      </w:r>
      <w:r>
        <w:rPr>
          <w:rFonts w:ascii="Times New Roman" w:hAnsi="Times New Roman" w:eastAsiaTheme="minorEastAsia"/>
          <w:sz w:val="20"/>
          <w:szCs w:val="20"/>
          <w:lang w:val="en-US" w:eastAsia="zh-CN"/>
        </w:rPr>
        <w:t xml:space="preserve"> </w:t>
      </w:r>
      <w:r>
        <w:rPr>
          <w:rFonts w:ascii="Times New Roman" w:hAnsi="Times New Roman" w:eastAsiaTheme="minorEastAsia"/>
          <w:sz w:val="20"/>
          <w:szCs w:val="20"/>
          <w:lang w:eastAsia="zh-CN"/>
        </w:rPr>
        <w:t>RACH optimization for feature or feature combinations</w:t>
      </w:r>
      <w:r>
        <w:rPr>
          <w:rFonts w:hint="eastAsia" w:ascii="Times New Roman" w:hAnsi="Times New Roman" w:eastAsiaTheme="minorEastAsia"/>
          <w:sz w:val="20"/>
          <w:szCs w:val="20"/>
          <w:lang w:eastAsia="zh-CN"/>
        </w:rPr>
        <w:t>)</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Non-Public Networks</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w:t>
      </w:r>
      <w:r>
        <w:rPr>
          <w:rFonts w:hint="eastAsia" w:ascii="Times New Roman" w:hAnsi="Times New Roman" w:eastAsiaTheme="minorEastAsia"/>
          <w:sz w:val="20"/>
          <w:szCs w:val="20"/>
          <w:lang w:eastAsia="zh-CN"/>
        </w:rPr>
        <w:t>R-U</w:t>
      </w:r>
    </w:p>
    <w:p>
      <w:pPr>
        <w:pStyle w:val="61"/>
        <w:ind w:firstLine="0" w:firstLineChars="0"/>
        <w:jc w:val="both"/>
        <w:rPr>
          <w:rFonts w:ascii="Times New Roman" w:hAnsi="Times New Roman" w:eastAsiaTheme="minorEastAsia"/>
          <w:sz w:val="20"/>
          <w:szCs w:val="20"/>
          <w:lang w:eastAsia="zh-CN"/>
        </w:rPr>
      </w:pPr>
    </w:p>
    <w:p>
      <w:pPr>
        <w:pStyle w:val="3"/>
        <w:rPr>
          <w:highlight w:val="none"/>
          <w:lang w:val="en-US" w:eastAsia="zh-CN"/>
        </w:rPr>
      </w:pPr>
      <w:r>
        <w:rPr>
          <w:highlight w:val="none"/>
          <w:lang w:val="en-US" w:eastAsia="zh-CN"/>
        </w:rPr>
        <w:t>3.3 SON/MDT BLCR handling</w:t>
      </w:r>
    </w:p>
    <w:p>
      <w:pPr>
        <w:pStyle w:val="61"/>
        <w:ind w:firstLine="0" w:firstLineChars="0"/>
        <w:jc w:val="both"/>
        <w:rPr>
          <w:rFonts w:ascii="Times New Roman" w:hAnsi="Times New Roman" w:eastAsiaTheme="minorEastAsia"/>
          <w:sz w:val="20"/>
          <w:szCs w:val="20"/>
          <w:highlight w:val="none"/>
          <w:lang w:val="en-US" w:eastAsia="zh-CN"/>
        </w:rPr>
      </w:pPr>
      <w:r>
        <w:rPr>
          <w:rFonts w:ascii="Times New Roman" w:hAnsi="Times New Roman" w:eastAsiaTheme="minorEastAsia"/>
          <w:sz w:val="20"/>
          <w:szCs w:val="20"/>
          <w:highlight w:val="none"/>
          <w:lang w:val="en-US" w:eastAsia="zh-CN"/>
        </w:rPr>
        <w:t xml:space="preserve">Based on the email discussion on the SON/MDT BL CR handling after RAN3#119bis-e, </w:t>
      </w:r>
      <w:r>
        <w:rPr>
          <w:rFonts w:hint="eastAsia" w:ascii="Times New Roman" w:hAnsi="Times New Roman" w:eastAsiaTheme="minorEastAsia"/>
          <w:sz w:val="20"/>
          <w:szCs w:val="20"/>
          <w:highlight w:val="none"/>
          <w:lang w:val="en-US" w:eastAsia="zh-CN"/>
        </w:rPr>
        <w:t xml:space="preserve">it is decided to follow </w:t>
      </w:r>
      <w:r>
        <w:rPr>
          <w:rFonts w:ascii="Times New Roman" w:hAnsi="Times New Roman" w:eastAsiaTheme="minorEastAsia"/>
          <w:sz w:val="20"/>
          <w:szCs w:val="20"/>
          <w:highlight w:val="none"/>
          <w:lang w:val="en-US" w:eastAsia="zh-CN"/>
        </w:rPr>
        <w:t xml:space="preserve">the original assignment, i.e., separate BL CRs for SON and MDT. </w:t>
      </w:r>
    </w:p>
    <w:p>
      <w:pPr>
        <w:pStyle w:val="2"/>
        <w:ind w:left="567" w:hanging="567"/>
        <w:rPr>
          <w:rFonts w:eastAsia="宋体" w:cs="Arial"/>
          <w:sz w:val="32"/>
          <w:szCs w:val="32"/>
          <w:lang w:eastAsia="zh-CN"/>
        </w:rPr>
      </w:pPr>
      <w:r>
        <w:rPr>
          <w:rFonts w:eastAsia="宋体" w:cs="Arial"/>
          <w:sz w:val="32"/>
          <w:szCs w:val="32"/>
          <w:lang w:val="en-US" w:eastAsia="zh-CN"/>
        </w:rPr>
        <w:t>4</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eastAsia="宋体" w:cs="Arial"/>
          <w:sz w:val="32"/>
          <w:szCs w:val="32"/>
          <w:lang w:eastAsia="zh-CN"/>
        </w:rPr>
      </w:pPr>
      <w:r>
        <w:rPr>
          <w:rFonts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0">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60770B2A"/>
    <w:multiLevelType w:val="multilevel"/>
    <w:tmpl w:val="60770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4">
    <w:nsid w:val="6D925985"/>
    <w:multiLevelType w:val="multilevel"/>
    <w:tmpl w:val="6D925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3"/>
  </w:num>
  <w:num w:numId="4">
    <w:abstractNumId w:val="0"/>
  </w:num>
  <w:num w:numId="5">
    <w:abstractNumId w:val="10"/>
  </w:num>
  <w:num w:numId="6">
    <w:abstractNumId w:val="4"/>
  </w:num>
  <w:num w:numId="7">
    <w:abstractNumId w:val="6"/>
  </w:num>
  <w:num w:numId="8">
    <w:abstractNumId w:val="12"/>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78C5E11"/>
    <w:rsid w:val="101B7CC1"/>
    <w:rsid w:val="10D115E5"/>
    <w:rsid w:val="173565E5"/>
    <w:rsid w:val="18A14FAC"/>
    <w:rsid w:val="28292A68"/>
    <w:rsid w:val="28F1630C"/>
    <w:rsid w:val="2BB55244"/>
    <w:rsid w:val="2C634DDF"/>
    <w:rsid w:val="320F2EEE"/>
    <w:rsid w:val="352D2319"/>
    <w:rsid w:val="37985B61"/>
    <w:rsid w:val="453730A7"/>
    <w:rsid w:val="45714452"/>
    <w:rsid w:val="49125A29"/>
    <w:rsid w:val="4B151443"/>
    <w:rsid w:val="50482777"/>
    <w:rsid w:val="51B13E95"/>
    <w:rsid w:val="54F07390"/>
    <w:rsid w:val="570F27D7"/>
    <w:rsid w:val="577E530F"/>
    <w:rsid w:val="5AEE394A"/>
    <w:rsid w:val="5CF046DA"/>
    <w:rsid w:val="61AA614D"/>
    <w:rsid w:val="62CA69F8"/>
    <w:rsid w:val="64F56248"/>
    <w:rsid w:val="65277804"/>
    <w:rsid w:val="66751DCB"/>
    <w:rsid w:val="66A76175"/>
    <w:rsid w:val="68063CAD"/>
    <w:rsid w:val="68EC2153"/>
    <w:rsid w:val="72155294"/>
    <w:rsid w:val="72E6396C"/>
    <w:rsid w:val="74A5074F"/>
    <w:rsid w:val="760A1B0D"/>
    <w:rsid w:val="794F389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 w:type="paragraph" w:customStyle="1" w:styleId="84">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401FBB-4A0F-4FB6-9DF2-903AAEC1A4B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11</Pages>
  <Words>4000</Words>
  <Characters>22806</Characters>
  <Lines>190</Lines>
  <Paragraphs>53</Paragraphs>
  <TotalTime>9</TotalTime>
  <ScaleCrop>false</ScaleCrop>
  <LinksUpToDate>false</LinksUpToDate>
  <CharactersWithSpaces>26753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2023-05-11T03:34:00Z</dcterms:created>
  <dc:creator>CMCC</dc:creator>
  <cp:lastModifiedBy>CMCC</cp:lastModifiedBy>
  <dcterms:modified xsi:type="dcterms:W3CDTF">2023-05-12T06:08:21Z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682BA9BF87A74E30AD63FE17FE0D2D99</vt:lpwstr>
  </property>
</Properties>
</file>